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9040" w14:textId="77777777" w:rsidR="004153CC" w:rsidRPr="006B7046" w:rsidRDefault="004153CC" w:rsidP="004153CC">
      <w:pPr>
        <w:jc w:val="both"/>
        <w:rPr>
          <w:rFonts w:eastAsia="Verdana"/>
          <w:sz w:val="28"/>
          <w:lang w:val="en-US"/>
        </w:rPr>
      </w:pPr>
    </w:p>
    <w:p w14:paraId="79FE67AF" w14:textId="5C8D08DF" w:rsidR="004153CC" w:rsidRPr="00752010" w:rsidRDefault="00657DF2" w:rsidP="004153CC">
      <w:pPr>
        <w:spacing w:after="0" w:line="240" w:lineRule="auto"/>
        <w:jc w:val="right"/>
        <w:rPr>
          <w:rFonts w:ascii="Verdana" w:hAnsi="Verdana" w:cs="Arial"/>
          <w:bCs/>
        </w:rPr>
      </w:pPr>
      <w:r>
        <w:rPr>
          <w:rFonts w:ascii="Verdana" w:hAnsi="Verdana" w:cs="Arial"/>
          <w:bCs/>
        </w:rPr>
        <w:t xml:space="preserve">Αθήνα, </w:t>
      </w:r>
      <w:r w:rsidR="001D4784" w:rsidRPr="007911BA">
        <w:rPr>
          <w:rFonts w:ascii="Verdana" w:hAnsi="Verdana" w:cs="Arial"/>
          <w:bCs/>
        </w:rPr>
        <w:t>12</w:t>
      </w:r>
      <w:r w:rsidR="004153CC">
        <w:rPr>
          <w:rFonts w:ascii="Verdana" w:hAnsi="Verdana" w:cs="Arial"/>
          <w:bCs/>
        </w:rPr>
        <w:t xml:space="preserve"> </w:t>
      </w:r>
      <w:r w:rsidR="001D4784">
        <w:rPr>
          <w:rFonts w:ascii="Verdana" w:hAnsi="Verdana" w:cs="Arial"/>
          <w:bCs/>
        </w:rPr>
        <w:t>Απριλ</w:t>
      </w:r>
      <w:r w:rsidR="00D8750C">
        <w:rPr>
          <w:rFonts w:ascii="Verdana" w:hAnsi="Verdana" w:cs="Arial"/>
          <w:bCs/>
        </w:rPr>
        <w:t>ίου</w:t>
      </w:r>
      <w:r w:rsidR="004153CC">
        <w:rPr>
          <w:rFonts w:ascii="Verdana" w:hAnsi="Verdana" w:cs="Arial"/>
          <w:bCs/>
        </w:rPr>
        <w:t xml:space="preserve"> 2022</w:t>
      </w:r>
    </w:p>
    <w:p w14:paraId="590A8FCC" w14:textId="77777777" w:rsidR="004153CC" w:rsidRDefault="004153CC" w:rsidP="004153CC">
      <w:pPr>
        <w:jc w:val="both"/>
        <w:rPr>
          <w:rFonts w:eastAsia="Verdana"/>
          <w:sz w:val="28"/>
        </w:rPr>
      </w:pPr>
    </w:p>
    <w:p w14:paraId="3A426C77" w14:textId="3227A976" w:rsidR="00BE68ED" w:rsidRDefault="004153CC" w:rsidP="00BE68ED">
      <w:pPr>
        <w:jc w:val="center"/>
        <w:rPr>
          <w:rFonts w:ascii="Verdana" w:eastAsia="Verdana" w:hAnsi="Verdana"/>
          <w:sz w:val="24"/>
          <w:szCs w:val="20"/>
        </w:rPr>
      </w:pPr>
      <w:r w:rsidRPr="004153CC">
        <w:rPr>
          <w:rFonts w:ascii="Verdana" w:eastAsia="Verdana" w:hAnsi="Verdana"/>
          <w:sz w:val="24"/>
          <w:szCs w:val="20"/>
        </w:rPr>
        <w:t>Δ Ε Λ Τ Ι Ο   Τ Υ Π Ο Υ</w:t>
      </w:r>
    </w:p>
    <w:p w14:paraId="369CD85A" w14:textId="77777777" w:rsidR="00BE68ED" w:rsidRPr="004153CC" w:rsidRDefault="00BE68ED" w:rsidP="00BE68ED">
      <w:pPr>
        <w:jc w:val="center"/>
        <w:rPr>
          <w:rFonts w:ascii="Verdana" w:eastAsia="Verdana" w:hAnsi="Verdana"/>
          <w:sz w:val="24"/>
          <w:szCs w:val="20"/>
        </w:rPr>
      </w:pPr>
    </w:p>
    <w:p w14:paraId="77D8F12A" w14:textId="5F5FC5CE" w:rsidR="001D4784" w:rsidRPr="001D4784" w:rsidRDefault="001D4784" w:rsidP="001D4784">
      <w:pPr>
        <w:spacing w:after="0"/>
        <w:jc w:val="center"/>
        <w:rPr>
          <w:rStyle w:val="Strong"/>
          <w:rFonts w:ascii="Verdana" w:hAnsi="Verdana" w:cs="Arial"/>
          <w:bCs w:val="0"/>
          <w:color w:val="000000"/>
          <w:sz w:val="25"/>
          <w:szCs w:val="25"/>
          <w:lang w:eastAsia="el-GR"/>
        </w:rPr>
      </w:pPr>
      <w:r w:rsidRPr="001D4784">
        <w:rPr>
          <w:rStyle w:val="Strong"/>
          <w:rFonts w:ascii="Verdana" w:hAnsi="Verdana" w:cs="Arial"/>
          <w:bCs w:val="0"/>
          <w:color w:val="000000"/>
          <w:sz w:val="25"/>
          <w:szCs w:val="25"/>
          <w:lang w:eastAsia="el-GR"/>
        </w:rPr>
        <w:t>Εξαιρετικά τα οικονομικά αποτελέσματα της Interamerican το 2021</w:t>
      </w:r>
    </w:p>
    <w:p w14:paraId="35889424" w14:textId="0452CC21" w:rsidR="001D4784" w:rsidRPr="001D4784" w:rsidRDefault="001D4784" w:rsidP="001D4784">
      <w:pPr>
        <w:spacing w:after="0"/>
        <w:jc w:val="center"/>
        <w:rPr>
          <w:rStyle w:val="Strong"/>
          <w:rFonts w:ascii="Verdana" w:hAnsi="Verdana" w:cs="Arial"/>
          <w:bCs w:val="0"/>
          <w:color w:val="000000"/>
          <w:lang w:eastAsia="el-GR"/>
        </w:rPr>
      </w:pPr>
      <w:r w:rsidRPr="001D4784">
        <w:rPr>
          <w:rStyle w:val="Strong"/>
          <w:rFonts w:ascii="Verdana" w:hAnsi="Verdana" w:cs="Arial"/>
          <w:bCs w:val="0"/>
          <w:color w:val="000000"/>
          <w:sz w:val="24"/>
          <w:szCs w:val="24"/>
          <w:lang w:eastAsia="el-GR"/>
        </w:rPr>
        <w:t xml:space="preserve"> </w:t>
      </w:r>
      <w:r w:rsidRPr="001D4784">
        <w:rPr>
          <w:rStyle w:val="Strong"/>
          <w:rFonts w:ascii="Verdana" w:hAnsi="Verdana" w:cs="Arial"/>
          <w:bCs w:val="0"/>
          <w:color w:val="000000"/>
          <w:lang w:eastAsia="el-GR"/>
        </w:rPr>
        <w:t>Δημιουργία υψηλής αξίας για πελάτες, συνεργάτες, εργαζόμενους</w:t>
      </w:r>
      <w:r w:rsidR="007911BA">
        <w:rPr>
          <w:rStyle w:val="Strong"/>
          <w:rFonts w:ascii="Verdana" w:hAnsi="Verdana" w:cs="Arial"/>
          <w:bCs w:val="0"/>
          <w:color w:val="000000"/>
          <w:lang w:eastAsia="el-GR"/>
        </w:rPr>
        <w:br/>
      </w:r>
      <w:r w:rsidRPr="001D4784">
        <w:rPr>
          <w:rStyle w:val="Strong"/>
          <w:rFonts w:ascii="Verdana" w:hAnsi="Verdana" w:cs="Arial"/>
          <w:bCs w:val="0"/>
          <w:color w:val="000000"/>
          <w:lang w:eastAsia="el-GR"/>
        </w:rPr>
        <w:t xml:space="preserve"> και την κοινωνία</w:t>
      </w:r>
    </w:p>
    <w:p w14:paraId="29C2D4EE" w14:textId="1D83AF16" w:rsidR="001D4784" w:rsidRDefault="001D4784" w:rsidP="001D4784">
      <w:pPr>
        <w:spacing w:after="0"/>
        <w:jc w:val="both"/>
        <w:rPr>
          <w:b/>
          <w:sz w:val="24"/>
        </w:rPr>
      </w:pPr>
    </w:p>
    <w:p w14:paraId="2FD4DF3A" w14:textId="77777777" w:rsidR="00BE68ED" w:rsidRPr="001D4784" w:rsidRDefault="00BE68ED" w:rsidP="001D4784">
      <w:pPr>
        <w:spacing w:after="0"/>
        <w:jc w:val="both"/>
        <w:rPr>
          <w:b/>
          <w:sz w:val="24"/>
        </w:rPr>
      </w:pPr>
    </w:p>
    <w:p w14:paraId="708D3724"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 xml:space="preserve">Υψηλή λειτουργική κερδοφορία 28,6 εκ. ευρώ, η υψηλότερη των τελευταίων ετών </w:t>
      </w:r>
    </w:p>
    <w:p w14:paraId="74896453"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Σημαντική αύξηση στα μικτά εγγεγραμμένα ασφάλιστρα κατά 6,3% και διαμόρφωση στα 395,5 εκ. ευρώ.</w:t>
      </w:r>
    </w:p>
    <w:p w14:paraId="55DAB4EB"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Αποζημιώσεις ύψους 226,9 εκ. ευρώ  στο σύνολο των προϊοντικών γραμμών</w:t>
      </w:r>
    </w:p>
    <w:p w14:paraId="425B8372"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Ιδιαίτερα υψηλά ποσοστά Φερεγγυότητας που φθάνουν το 239% στην εταιρία Ζημιών</w:t>
      </w:r>
    </w:p>
    <w:p w14:paraId="4BCE91B7"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Σε κορυφαία επίπεδα οι δείκτες ικανοποίησης πελατών (έως 92%) και σύστασης Ν</w:t>
      </w:r>
      <w:r w:rsidRPr="001D4784">
        <w:rPr>
          <w:rFonts w:ascii="Verdana" w:hAnsi="Verdana"/>
          <w:lang w:val="en-US"/>
        </w:rPr>
        <w:t>PS</w:t>
      </w:r>
      <w:r w:rsidRPr="001D4784">
        <w:rPr>
          <w:rFonts w:ascii="Verdana" w:hAnsi="Verdana"/>
        </w:rPr>
        <w:t xml:space="preserve"> (71)</w:t>
      </w:r>
    </w:p>
    <w:p w14:paraId="4EB9097F"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Στα 178,1 εκ. ευρώ το σύνολο του κοινωνικού προϊόντος</w:t>
      </w:r>
    </w:p>
    <w:p w14:paraId="2BAE3C2F"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 xml:space="preserve">Ολοκλήρωση οργανωσιακού μετασχηματισμού και υιοθέτηση ενός από τα πλέον σύγχρονα μοντέλα εργασίας </w:t>
      </w:r>
    </w:p>
    <w:p w14:paraId="564791E4" w14:textId="77777777" w:rsidR="001D4784" w:rsidRPr="001D4784" w:rsidRDefault="001D4784" w:rsidP="001D4784">
      <w:pPr>
        <w:numPr>
          <w:ilvl w:val="0"/>
          <w:numId w:val="4"/>
        </w:numPr>
        <w:spacing w:after="0"/>
        <w:ind w:left="357" w:hanging="357"/>
        <w:contextualSpacing/>
        <w:jc w:val="both"/>
        <w:rPr>
          <w:rFonts w:ascii="Verdana" w:hAnsi="Verdana"/>
        </w:rPr>
      </w:pPr>
      <w:r w:rsidRPr="001D4784">
        <w:rPr>
          <w:rFonts w:ascii="Verdana" w:hAnsi="Verdana"/>
        </w:rPr>
        <w:t>Επενδύσεις στην ψηφιοποίηση και τις υποδομές του Ομίλου που συνεχίζονται και το 2022</w:t>
      </w:r>
    </w:p>
    <w:p w14:paraId="12B4C839" w14:textId="2147F364" w:rsidR="001D4784" w:rsidRDefault="001D4784" w:rsidP="001D4784">
      <w:pPr>
        <w:spacing w:after="0"/>
        <w:jc w:val="both"/>
        <w:rPr>
          <w:rFonts w:ascii="Verdana" w:hAnsi="Verdana"/>
          <w:bCs/>
        </w:rPr>
      </w:pPr>
    </w:p>
    <w:p w14:paraId="6050F4DB" w14:textId="77777777" w:rsidR="00BE68ED" w:rsidRPr="001D4784" w:rsidRDefault="00BE68ED" w:rsidP="001D4784">
      <w:pPr>
        <w:spacing w:after="0"/>
        <w:jc w:val="both"/>
        <w:rPr>
          <w:rFonts w:ascii="Verdana" w:hAnsi="Verdana"/>
          <w:bCs/>
        </w:rPr>
      </w:pPr>
    </w:p>
    <w:p w14:paraId="3C71F7DE" w14:textId="77777777" w:rsidR="001D4784" w:rsidRPr="001D4784" w:rsidRDefault="001D4784" w:rsidP="001D4784">
      <w:pPr>
        <w:spacing w:after="0"/>
        <w:jc w:val="both"/>
        <w:rPr>
          <w:rFonts w:ascii="Verdana" w:hAnsi="Verdana"/>
          <w:b/>
        </w:rPr>
      </w:pPr>
      <w:r w:rsidRPr="001D4784">
        <w:rPr>
          <w:rFonts w:ascii="Verdana" w:hAnsi="Verdana"/>
          <w:b/>
        </w:rPr>
        <w:t xml:space="preserve">Υψηλοί ρυθμοί ανάπτυξης και κερδοφορίας </w:t>
      </w:r>
    </w:p>
    <w:p w14:paraId="7B3ECC39" w14:textId="77777777" w:rsidR="001D4784" w:rsidRPr="001D4784" w:rsidRDefault="001D4784" w:rsidP="001D4784">
      <w:pPr>
        <w:spacing w:after="0"/>
        <w:jc w:val="both"/>
        <w:rPr>
          <w:rFonts w:ascii="Verdana" w:hAnsi="Verdana"/>
        </w:rPr>
      </w:pPr>
      <w:r w:rsidRPr="001D4784">
        <w:rPr>
          <w:rFonts w:ascii="Verdana" w:hAnsi="Verdana"/>
        </w:rPr>
        <w:t xml:space="preserve">Σημαντική αύξηση των μικτών εγγεγραμμένων ασφαλίστρων κατά 6,3% παρουσίασε ο Όμιλος </w:t>
      </w:r>
      <w:r w:rsidRPr="001D4784">
        <w:rPr>
          <w:rFonts w:ascii="Verdana" w:hAnsi="Verdana"/>
          <w:lang w:val="en-US"/>
        </w:rPr>
        <w:t>Interamerican</w:t>
      </w:r>
      <w:r w:rsidRPr="001D4784">
        <w:rPr>
          <w:rFonts w:ascii="Verdana" w:hAnsi="Verdana"/>
        </w:rPr>
        <w:t xml:space="preserve"> το 2021, φθάνοντας στο ύψος των 395,5 εκ. ευρώ από 372,0 εκ. ευρώ το 2020. Εξαιρουμένων των </w:t>
      </w:r>
      <w:r w:rsidRPr="001D4784">
        <w:rPr>
          <w:rFonts w:ascii="Verdana" w:hAnsi="Verdana"/>
          <w:lang w:val="en-US"/>
        </w:rPr>
        <w:t>unit</w:t>
      </w:r>
      <w:r w:rsidRPr="001D4784">
        <w:rPr>
          <w:rFonts w:ascii="Verdana" w:hAnsi="Verdana"/>
        </w:rPr>
        <w:t xml:space="preserve"> </w:t>
      </w:r>
      <w:r w:rsidRPr="001D4784">
        <w:rPr>
          <w:rFonts w:ascii="Verdana" w:hAnsi="Verdana"/>
          <w:lang w:val="en-US"/>
        </w:rPr>
        <w:t>linked</w:t>
      </w:r>
      <w:r w:rsidRPr="001D4784">
        <w:rPr>
          <w:rFonts w:ascii="Verdana" w:hAnsi="Verdana"/>
        </w:rPr>
        <w:t xml:space="preserve"> προϊόντων, η εταιρία είχε αύξηση 5% σε σύγκριση με το αντίστοιχο 2,1% της αγοράς, εμφανίζοντας  2,4 φορές μεγαλύτερη ανάπτυξη από τον μέσο όρο της αγοράς στα αμιγώς ασφαλιστικά προϊόντα. Κύριος μοχλός ανάπτυξης του Ομίλου αποτέλεσαν οι Γενικές Ασφαλίσεις οι οποίες συμμετείχαν στην αύξηση των ασφαλίστρων κατά 66%, ενώ το υπόλοιπο προήλθε από τους κλάδους Υγείας και Ζωής. </w:t>
      </w:r>
    </w:p>
    <w:p w14:paraId="332D98F9" w14:textId="77777777" w:rsidR="001D4784" w:rsidRPr="001D4784" w:rsidRDefault="001D4784" w:rsidP="001D4784">
      <w:pPr>
        <w:spacing w:after="0"/>
        <w:jc w:val="both"/>
        <w:rPr>
          <w:rFonts w:ascii="Verdana" w:hAnsi="Verdana"/>
        </w:rPr>
      </w:pPr>
      <w:r w:rsidRPr="001D4784">
        <w:rPr>
          <w:rFonts w:ascii="Verdana" w:hAnsi="Verdana"/>
        </w:rPr>
        <w:t xml:space="preserve">Βάσει των αποτελεσμάτων του 2021, ο Όμιλος </w:t>
      </w:r>
      <w:r w:rsidRPr="001D4784">
        <w:rPr>
          <w:rFonts w:ascii="Verdana" w:hAnsi="Verdana"/>
          <w:lang w:val="en-US"/>
        </w:rPr>
        <w:t>Interamerican</w:t>
      </w:r>
      <w:r w:rsidRPr="001D4784">
        <w:rPr>
          <w:rFonts w:ascii="Verdana" w:hAnsi="Verdana"/>
        </w:rPr>
        <w:t xml:space="preserve"> πρωταγωνίστησε σε σημαντικούς ασφαλιστικούς κλάδους κατέχοντας υψηλά μερίδια αγοράς στην Υγεία 20,3% (κλάδος 2 ζημιών), στις Ασφαλίσεις Ζημιών 12,8% συνολικά, στις Ασφαλίσεις Αυτοκινήτου 12,3%  (κλάδοι 3 και 10 ζημιών) και στο χώρο της Βοηθείας 18,3% (κλάδος 18).</w:t>
      </w:r>
    </w:p>
    <w:p w14:paraId="77526271" w14:textId="77777777" w:rsidR="001D4784" w:rsidRPr="001D4784" w:rsidRDefault="001D4784" w:rsidP="001D4784">
      <w:pPr>
        <w:spacing w:after="0"/>
        <w:jc w:val="both"/>
        <w:rPr>
          <w:rFonts w:ascii="Verdana" w:hAnsi="Verdana"/>
        </w:rPr>
      </w:pPr>
      <w:r w:rsidRPr="001D4784">
        <w:rPr>
          <w:rFonts w:ascii="Verdana" w:hAnsi="Verdana"/>
        </w:rPr>
        <w:t xml:space="preserve">Το συνολικό ύψος των αποζημιώσεων που καταβλήθηκε σε 400.998 περιπτώσεις πελατών μας το 2021 έφθασε το ύψος των 226,9 εκ ευρώ. Ο μεγαλύτερος όγκος αποζημιώσεων αφορούσε στον κλάδο Ζημιών με 79,9 εκ ευρώ (35%), ενώ το μεγαλύτερο πλήθος αποζημιώσεων αφορούσε στον κλάδο Υγείας (212.762 περιπτώσεις). </w:t>
      </w:r>
    </w:p>
    <w:p w14:paraId="2E978F06" w14:textId="77777777" w:rsidR="001D4784" w:rsidRPr="001D4784" w:rsidRDefault="001D4784" w:rsidP="001D4784">
      <w:pPr>
        <w:spacing w:after="0"/>
        <w:jc w:val="both"/>
        <w:rPr>
          <w:rFonts w:ascii="Verdana" w:hAnsi="Verdana"/>
        </w:rPr>
      </w:pPr>
      <w:r w:rsidRPr="001D4784">
        <w:rPr>
          <w:rFonts w:ascii="Verdana" w:hAnsi="Verdana"/>
        </w:rPr>
        <w:t xml:space="preserve">Αξίζει να σημειωθεί ότι η </w:t>
      </w:r>
      <w:r w:rsidRPr="001D4784">
        <w:rPr>
          <w:rFonts w:ascii="Verdana" w:hAnsi="Verdana"/>
          <w:lang w:val="en-US"/>
        </w:rPr>
        <w:t>Interamerican</w:t>
      </w:r>
      <w:r w:rsidRPr="001D4784">
        <w:rPr>
          <w:rFonts w:ascii="Verdana" w:hAnsi="Verdana"/>
        </w:rPr>
        <w:t xml:space="preserve"> κατέβαλε ένα σημαντικό ύψος αποζημιώσεων οι οποίες αφορούσαν σε φυσικές καταστροφές. Ενδεικτικά, το ύψος των αποζημιώσεων  για τις πυρκαγιές σε Β. Εύβοια και Αττική ανήλθε στα 4 εκ ευρώ.</w:t>
      </w:r>
    </w:p>
    <w:p w14:paraId="0A0531C3" w14:textId="77777777" w:rsidR="007911BA" w:rsidRDefault="007911BA" w:rsidP="001D4784">
      <w:pPr>
        <w:spacing w:after="0"/>
        <w:jc w:val="both"/>
        <w:rPr>
          <w:rFonts w:ascii="Verdana" w:hAnsi="Verdana"/>
        </w:rPr>
      </w:pPr>
    </w:p>
    <w:p w14:paraId="0756AA55" w14:textId="0117D2F8" w:rsidR="001D4784" w:rsidRPr="001D4784" w:rsidRDefault="001D4784" w:rsidP="001D4784">
      <w:pPr>
        <w:spacing w:after="0"/>
        <w:jc w:val="both"/>
        <w:rPr>
          <w:rFonts w:ascii="Verdana" w:hAnsi="Verdana"/>
        </w:rPr>
      </w:pPr>
      <w:r w:rsidRPr="001D4784">
        <w:rPr>
          <w:rFonts w:ascii="Verdana" w:hAnsi="Verdana"/>
        </w:rPr>
        <w:t xml:space="preserve">Για μια ακόμη χρονιά η </w:t>
      </w:r>
      <w:r w:rsidRPr="001D4784">
        <w:rPr>
          <w:rFonts w:ascii="Verdana" w:hAnsi="Verdana"/>
          <w:lang w:val="en-US"/>
        </w:rPr>
        <w:t>Interamerican</w:t>
      </w:r>
      <w:r w:rsidRPr="001D4784">
        <w:rPr>
          <w:rFonts w:ascii="Verdana" w:hAnsi="Verdana"/>
        </w:rPr>
        <w:t xml:space="preserve"> παρουσίασε ιδιαίτερα υψηλά επίπεδα Φερεγγυότητας κατά </w:t>
      </w:r>
      <w:r w:rsidRPr="001D4784">
        <w:rPr>
          <w:rFonts w:ascii="Verdana" w:hAnsi="Verdana"/>
          <w:lang w:val="en-US"/>
        </w:rPr>
        <w:t>Solvency</w:t>
      </w:r>
      <w:r w:rsidRPr="001D4784">
        <w:rPr>
          <w:rFonts w:ascii="Verdana" w:hAnsi="Verdana"/>
        </w:rPr>
        <w:t xml:space="preserve"> </w:t>
      </w:r>
      <w:r w:rsidRPr="001D4784">
        <w:rPr>
          <w:rFonts w:ascii="Verdana" w:hAnsi="Verdana"/>
          <w:lang w:val="en-US"/>
        </w:rPr>
        <w:t>II</w:t>
      </w:r>
      <w:r w:rsidRPr="001D4784">
        <w:rPr>
          <w:rFonts w:ascii="Verdana" w:hAnsi="Verdana"/>
        </w:rPr>
        <w:t>, τα οποία κινήθηκαν από 58% έως 139% πάνω από το απαιτούμενο επίπεδο, φθάνοντας στην Εταιρία Ζημιών το 239%.</w:t>
      </w:r>
    </w:p>
    <w:p w14:paraId="5FEA0B1C" w14:textId="77777777" w:rsidR="001D4784" w:rsidRDefault="001D4784" w:rsidP="001D4784">
      <w:pPr>
        <w:spacing w:after="0"/>
        <w:jc w:val="both"/>
        <w:rPr>
          <w:rFonts w:ascii="Verdana" w:hAnsi="Verdana"/>
          <w:b/>
        </w:rPr>
      </w:pPr>
    </w:p>
    <w:p w14:paraId="4CE4D17B" w14:textId="3BD7C695" w:rsidR="001D4784" w:rsidRPr="001D4784" w:rsidRDefault="001D4784" w:rsidP="001D4784">
      <w:pPr>
        <w:spacing w:after="0"/>
        <w:jc w:val="both"/>
        <w:rPr>
          <w:rFonts w:ascii="Verdana" w:hAnsi="Verdana"/>
          <w:b/>
        </w:rPr>
      </w:pPr>
      <w:r w:rsidRPr="001D4784">
        <w:rPr>
          <w:rFonts w:ascii="Verdana" w:hAnsi="Verdana"/>
          <w:b/>
        </w:rPr>
        <w:t>Ένα ισορροπημένο και πετυχημένο μοντέλο διανομής</w:t>
      </w:r>
    </w:p>
    <w:p w14:paraId="01454B2E" w14:textId="77777777" w:rsidR="001D4784" w:rsidRPr="001D4784" w:rsidRDefault="001D4784" w:rsidP="001D4784">
      <w:pPr>
        <w:spacing w:after="0"/>
        <w:jc w:val="both"/>
        <w:rPr>
          <w:rFonts w:ascii="Verdana" w:hAnsi="Verdana"/>
        </w:rPr>
      </w:pPr>
      <w:r w:rsidRPr="001D4784">
        <w:rPr>
          <w:rFonts w:ascii="Verdana" w:hAnsi="Verdana"/>
        </w:rPr>
        <w:t xml:space="preserve">Στρατηγική της εταιρίας είναι η ικανοποίηση των αναγκών των πελατών μέσω ενός πολυκαναλικού μοντέλου διανομής, αξιοποιώντας το δίκτυο των 1.871 διαμεσολαβητών αλλά και την ηγετική θέση του Ομίλου στην απευθείας ψηφιακή ασφάλιση μέσω της </w:t>
      </w:r>
      <w:r w:rsidRPr="001D4784">
        <w:rPr>
          <w:rFonts w:ascii="Verdana" w:hAnsi="Verdana"/>
          <w:lang w:val="en-US"/>
        </w:rPr>
        <w:t>Anytime</w:t>
      </w:r>
      <w:r w:rsidRPr="001D4784">
        <w:rPr>
          <w:rFonts w:ascii="Verdana" w:hAnsi="Verdana"/>
        </w:rPr>
        <w:t xml:space="preserve">. Ειδικότερα, το εταιρικό δίκτυο </w:t>
      </w:r>
      <w:r w:rsidRPr="001D4784">
        <w:rPr>
          <w:rFonts w:ascii="Verdana" w:hAnsi="Verdana"/>
          <w:lang w:val="en-US"/>
        </w:rPr>
        <w:t>Agency</w:t>
      </w:r>
      <w:r w:rsidRPr="001D4784">
        <w:rPr>
          <w:rFonts w:ascii="Verdana" w:hAnsi="Verdana"/>
        </w:rPr>
        <w:t xml:space="preserve"> συμμετείχε στην παραγωγή το 2021 με ποσοστό 33,3%, το δίκτυο Πρακτόρων και Μεσιτών με 31,1%, η </w:t>
      </w:r>
      <w:r w:rsidRPr="001D4784">
        <w:rPr>
          <w:rFonts w:ascii="Verdana" w:hAnsi="Verdana"/>
          <w:lang w:val="en-US"/>
        </w:rPr>
        <w:t>Anytime</w:t>
      </w:r>
      <w:r w:rsidRPr="001D4784">
        <w:rPr>
          <w:rFonts w:ascii="Verdana" w:hAnsi="Verdana"/>
        </w:rPr>
        <w:t xml:space="preserve"> με 23,1% και τα λοιπά δίκτυα π.χ. </w:t>
      </w:r>
      <w:proofErr w:type="spellStart"/>
      <w:r w:rsidRPr="001D4784">
        <w:rPr>
          <w:rFonts w:ascii="Verdana" w:hAnsi="Verdana"/>
          <w:lang w:val="en-US"/>
        </w:rPr>
        <w:t>bankassurance</w:t>
      </w:r>
      <w:proofErr w:type="spellEnd"/>
      <w:r w:rsidRPr="001D4784">
        <w:rPr>
          <w:rFonts w:ascii="Verdana" w:hAnsi="Verdana"/>
        </w:rPr>
        <w:t xml:space="preserve">, Ομαδικά, κ.λπ. με 12,5%. </w:t>
      </w:r>
      <w:r w:rsidRPr="001D4784">
        <w:rPr>
          <w:rFonts w:ascii="Verdana" w:hAnsi="Verdana"/>
          <w:lang w:val="en-US"/>
        </w:rPr>
        <w:t>H</w:t>
      </w:r>
      <w:r w:rsidRPr="001D4784">
        <w:rPr>
          <w:rFonts w:ascii="Verdana" w:hAnsi="Verdana"/>
        </w:rPr>
        <w:t xml:space="preserve"> </w:t>
      </w:r>
      <w:r w:rsidRPr="001D4784">
        <w:rPr>
          <w:rFonts w:ascii="Verdana" w:hAnsi="Verdana"/>
          <w:lang w:val="en-US"/>
        </w:rPr>
        <w:t>Anytime</w:t>
      </w:r>
      <w:r w:rsidRPr="001D4784">
        <w:rPr>
          <w:rFonts w:ascii="Verdana" w:hAnsi="Verdana"/>
        </w:rPr>
        <w:t xml:space="preserve"> συνέχισε την ανάπτυξή της το 2021 με τα μικτά εγγεγραμμένα ασφάλιστρα να φθάνουν τα 83,3 εκ (86,5% αυτοκίνητο και 13.5% κατοικία), ενώ στην Κύπρο το μερίδιο αγοράς της </w:t>
      </w:r>
      <w:r w:rsidRPr="001D4784">
        <w:rPr>
          <w:rFonts w:ascii="Verdana" w:hAnsi="Verdana"/>
          <w:lang w:val="en-US"/>
        </w:rPr>
        <w:t>Anytime</w:t>
      </w:r>
      <w:r w:rsidRPr="001D4784">
        <w:rPr>
          <w:rFonts w:ascii="Verdana" w:hAnsi="Verdana"/>
        </w:rPr>
        <w:t>, στην ασφάλιση Αυτοκινήτου, διαμορφώθηκε στο 4%.</w:t>
      </w:r>
    </w:p>
    <w:p w14:paraId="456F8932" w14:textId="77777777" w:rsidR="001D4784" w:rsidRDefault="001D4784" w:rsidP="001D4784">
      <w:pPr>
        <w:spacing w:after="0"/>
        <w:jc w:val="both"/>
        <w:rPr>
          <w:rFonts w:ascii="Verdana" w:hAnsi="Verdana"/>
          <w:b/>
        </w:rPr>
      </w:pPr>
    </w:p>
    <w:p w14:paraId="78270B7C" w14:textId="30B907DD" w:rsidR="001D4784" w:rsidRPr="001D4784" w:rsidRDefault="001D4784" w:rsidP="001D4784">
      <w:pPr>
        <w:spacing w:after="0"/>
        <w:jc w:val="both"/>
        <w:rPr>
          <w:rFonts w:ascii="Verdana" w:hAnsi="Verdana"/>
          <w:b/>
        </w:rPr>
      </w:pPr>
      <w:r w:rsidRPr="001D4784">
        <w:rPr>
          <w:rFonts w:ascii="Verdana" w:hAnsi="Verdana"/>
          <w:b/>
        </w:rPr>
        <w:t xml:space="preserve">Σε ιστορικά υψηλά επίπεδα οι δείκτες </w:t>
      </w:r>
      <w:r w:rsidRPr="001D4784">
        <w:rPr>
          <w:rFonts w:ascii="Verdana" w:hAnsi="Verdana"/>
          <w:b/>
          <w:lang w:val="en-US"/>
        </w:rPr>
        <w:t>I</w:t>
      </w:r>
      <w:r w:rsidRPr="001D4784">
        <w:rPr>
          <w:rFonts w:ascii="Verdana" w:hAnsi="Verdana"/>
          <w:b/>
        </w:rPr>
        <w:t>κανοποίησης και Σύστασης (</w:t>
      </w:r>
      <w:r w:rsidRPr="001D4784">
        <w:rPr>
          <w:rFonts w:ascii="Verdana" w:hAnsi="Verdana"/>
          <w:b/>
          <w:lang w:val="en-US"/>
        </w:rPr>
        <w:t>NPS</w:t>
      </w:r>
      <w:r w:rsidRPr="001D4784">
        <w:rPr>
          <w:rFonts w:ascii="Verdana" w:hAnsi="Verdana"/>
          <w:b/>
        </w:rPr>
        <w:t xml:space="preserve"> - </w:t>
      </w:r>
      <w:r w:rsidRPr="001D4784">
        <w:rPr>
          <w:rFonts w:ascii="Verdana" w:hAnsi="Verdana"/>
          <w:b/>
          <w:lang w:val="en-US"/>
        </w:rPr>
        <w:t>Net</w:t>
      </w:r>
      <w:r w:rsidRPr="001D4784">
        <w:rPr>
          <w:rFonts w:ascii="Verdana" w:hAnsi="Verdana"/>
          <w:b/>
        </w:rPr>
        <w:t xml:space="preserve"> </w:t>
      </w:r>
      <w:r w:rsidRPr="001D4784">
        <w:rPr>
          <w:rFonts w:ascii="Verdana" w:hAnsi="Verdana"/>
          <w:b/>
          <w:lang w:val="en-US"/>
        </w:rPr>
        <w:t>Promoter</w:t>
      </w:r>
      <w:r w:rsidRPr="001D4784">
        <w:rPr>
          <w:rFonts w:ascii="Verdana" w:hAnsi="Verdana"/>
          <w:b/>
        </w:rPr>
        <w:t xml:space="preserve"> </w:t>
      </w:r>
      <w:r w:rsidRPr="001D4784">
        <w:rPr>
          <w:rFonts w:ascii="Verdana" w:hAnsi="Verdana"/>
          <w:b/>
          <w:lang w:val="en-US"/>
        </w:rPr>
        <w:t>Score</w:t>
      </w:r>
      <w:r w:rsidRPr="001D4784">
        <w:rPr>
          <w:rFonts w:ascii="Verdana" w:hAnsi="Verdana"/>
          <w:b/>
        </w:rPr>
        <w:t>)</w:t>
      </w:r>
    </w:p>
    <w:p w14:paraId="0CF08D49" w14:textId="77777777" w:rsidR="001D4784" w:rsidRPr="001D4784" w:rsidRDefault="001D4784" w:rsidP="001D4784">
      <w:pPr>
        <w:spacing w:after="0"/>
        <w:jc w:val="both"/>
        <w:rPr>
          <w:rFonts w:ascii="Verdana" w:hAnsi="Verdana"/>
        </w:rPr>
      </w:pPr>
      <w:r w:rsidRPr="001D4784">
        <w:rPr>
          <w:rFonts w:ascii="Verdana" w:hAnsi="Verdana"/>
        </w:rPr>
        <w:t xml:space="preserve">Ο δείκτης σύστασης των πελατών της </w:t>
      </w:r>
      <w:r w:rsidRPr="001D4784">
        <w:rPr>
          <w:rFonts w:ascii="Verdana" w:hAnsi="Verdana"/>
          <w:lang w:val="en-US"/>
        </w:rPr>
        <w:t>Interamerican</w:t>
      </w:r>
      <w:r w:rsidRPr="001D4784">
        <w:rPr>
          <w:rFonts w:ascii="Verdana" w:hAnsi="Verdana"/>
        </w:rPr>
        <w:t xml:space="preserve"> (</w:t>
      </w:r>
      <w:r w:rsidRPr="001D4784">
        <w:rPr>
          <w:rFonts w:ascii="Verdana" w:hAnsi="Verdana"/>
          <w:lang w:val="en-US"/>
        </w:rPr>
        <w:t>NPS</w:t>
      </w:r>
      <w:r w:rsidRPr="001D4784">
        <w:rPr>
          <w:rFonts w:ascii="Verdana" w:hAnsi="Verdana"/>
        </w:rPr>
        <w:t xml:space="preserve">) διαμορφώθηκε στο 71 για τα προϊόντα και 59 στις υπηρεσίες, γεγονός το οποίο αποτελεί την καλύτερη επίδοση για την εταιρία όλων των ετών. Σημειώνεται ότι σε διεθνές επίπεδο ο δείκτης κυμαίνεται μεταξύ 27 και 41. Αντίστοιχα οι δείκτες ικανοποίησης και για τα δύο </w:t>
      </w:r>
      <w:r w:rsidRPr="001D4784">
        <w:rPr>
          <w:rFonts w:ascii="Verdana" w:hAnsi="Verdana"/>
          <w:lang w:val="en-US"/>
        </w:rPr>
        <w:t>brands</w:t>
      </w:r>
      <w:r w:rsidRPr="001D4784">
        <w:rPr>
          <w:rFonts w:ascii="Verdana" w:hAnsi="Verdana"/>
        </w:rPr>
        <w:t xml:space="preserve"> (</w:t>
      </w:r>
      <w:r w:rsidRPr="001D4784">
        <w:rPr>
          <w:rFonts w:ascii="Verdana" w:hAnsi="Verdana"/>
          <w:lang w:val="en-US"/>
        </w:rPr>
        <w:t>Interamerican</w:t>
      </w:r>
      <w:r w:rsidRPr="001D4784">
        <w:rPr>
          <w:rFonts w:ascii="Verdana" w:hAnsi="Verdana"/>
        </w:rPr>
        <w:t xml:space="preserve">, </w:t>
      </w:r>
      <w:r w:rsidRPr="001D4784">
        <w:rPr>
          <w:rFonts w:ascii="Verdana" w:hAnsi="Verdana"/>
          <w:lang w:val="en-US"/>
        </w:rPr>
        <w:t>Anytime</w:t>
      </w:r>
      <w:r w:rsidRPr="001D4784">
        <w:rPr>
          <w:rFonts w:ascii="Verdana" w:hAnsi="Verdana"/>
        </w:rPr>
        <w:t xml:space="preserve">) έφθασαν έως και το 92%. Επιπλέον αύξηση παρουσίασαν οι αντίστοιχοι δείκτες σε όλα τα δίκτυα διαμεσολαβητών και διαμορφώθηκαν στα υψηλότερα επίπεδα των τελευταίων 8 ετών. </w:t>
      </w:r>
    </w:p>
    <w:p w14:paraId="0758A225" w14:textId="77777777" w:rsidR="001D4784" w:rsidRDefault="001D4784" w:rsidP="001D4784">
      <w:pPr>
        <w:spacing w:after="0"/>
        <w:jc w:val="both"/>
        <w:rPr>
          <w:rFonts w:ascii="Verdana" w:hAnsi="Verdana"/>
          <w:b/>
        </w:rPr>
      </w:pPr>
    </w:p>
    <w:p w14:paraId="685D7B08" w14:textId="62EF09D2" w:rsidR="001D4784" w:rsidRPr="001D4784" w:rsidRDefault="001D4784" w:rsidP="001D4784">
      <w:pPr>
        <w:spacing w:after="0"/>
        <w:jc w:val="both"/>
        <w:rPr>
          <w:rFonts w:ascii="Verdana" w:hAnsi="Verdana"/>
          <w:b/>
        </w:rPr>
      </w:pPr>
      <w:r w:rsidRPr="001D4784">
        <w:rPr>
          <w:rFonts w:ascii="Verdana" w:hAnsi="Verdana"/>
          <w:b/>
        </w:rPr>
        <w:t>Έμφαση σε ένα νέο σύγχρονο μοντέλο εργασίας και στην ψηφιοποίηση</w:t>
      </w:r>
    </w:p>
    <w:p w14:paraId="6545D1C6" w14:textId="77777777" w:rsidR="001D4784" w:rsidRPr="001D4784" w:rsidRDefault="001D4784" w:rsidP="001D4784">
      <w:pPr>
        <w:spacing w:after="0"/>
        <w:jc w:val="both"/>
        <w:rPr>
          <w:rFonts w:ascii="Verdana" w:hAnsi="Verdana"/>
        </w:rPr>
      </w:pPr>
      <w:r w:rsidRPr="001D4784">
        <w:rPr>
          <w:rFonts w:ascii="Verdana" w:hAnsi="Verdana"/>
        </w:rPr>
        <w:t xml:space="preserve">Το 2021 ολοκληρώθηκε με επιτυχία ο οργανωσιακός μετασχηματισμός της </w:t>
      </w:r>
      <w:r w:rsidRPr="001D4784">
        <w:rPr>
          <w:rFonts w:ascii="Verdana" w:hAnsi="Verdana"/>
          <w:lang w:val="en-US"/>
        </w:rPr>
        <w:t>Interamerican</w:t>
      </w:r>
      <w:r w:rsidRPr="001D4784">
        <w:rPr>
          <w:rFonts w:ascii="Verdana" w:hAnsi="Verdana"/>
        </w:rPr>
        <w:t>. Υιοθετήθηκε ένα νέο σύγχρονο μοντέλο εργασίας το οποίο δίνει ιδιαίτερη έμφαση στην ανάπτυξη και την ενδυνάμωση των ανθρώπων, καθώς και στον ομαδικό τρόπο εργασίας, με λιγότερες ιεραρχικές βαθμίδες. Παράλληλα προσφέρει σε κάθε εργαζόμενο την ελευθερία να εργαστεί εξ αποστάσεως ή με φυσική παρουσία (υβριδικό μοντέλο εργασίας).</w:t>
      </w:r>
    </w:p>
    <w:p w14:paraId="428D7A09" w14:textId="77777777" w:rsidR="001D4784" w:rsidRPr="001D4784" w:rsidRDefault="001D4784" w:rsidP="001D4784">
      <w:pPr>
        <w:spacing w:after="0"/>
        <w:jc w:val="both"/>
        <w:rPr>
          <w:rFonts w:ascii="Verdana" w:hAnsi="Verdana"/>
        </w:rPr>
      </w:pPr>
      <w:r w:rsidRPr="001D4784">
        <w:rPr>
          <w:rFonts w:ascii="Verdana" w:hAnsi="Verdana"/>
        </w:rPr>
        <w:t xml:space="preserve">Επίσης, συνεχίστηκε με εντατικούς ρυθμούς η ψηφιοποίηση της εταιρίας, με καινοτόμες </w:t>
      </w:r>
      <w:r w:rsidRPr="001D4784">
        <w:rPr>
          <w:rFonts w:ascii="Verdana" w:hAnsi="Verdana"/>
          <w:lang w:val="en-US"/>
        </w:rPr>
        <w:t>mobile</w:t>
      </w:r>
      <w:r w:rsidRPr="001D4784">
        <w:rPr>
          <w:rFonts w:ascii="Verdana" w:hAnsi="Verdana"/>
        </w:rPr>
        <w:t xml:space="preserve"> εφαρμογές και  ψηφιακές πλατφόρμες κυρίως στο χώρο της υγείας και του αυτοκινήτου παρέχοντας νέες υπηρεσίες και δυνατότητες στους ασφαλισμένους. </w:t>
      </w:r>
    </w:p>
    <w:p w14:paraId="488F94B2" w14:textId="77777777" w:rsidR="001D4784" w:rsidRPr="001D4784" w:rsidRDefault="001D4784" w:rsidP="001D4784">
      <w:pPr>
        <w:spacing w:after="0"/>
        <w:jc w:val="both"/>
        <w:rPr>
          <w:rFonts w:ascii="Verdana" w:hAnsi="Verdana"/>
        </w:rPr>
      </w:pPr>
    </w:p>
    <w:p w14:paraId="734FDF33" w14:textId="75014339" w:rsidR="002D60A2" w:rsidRDefault="001D4784" w:rsidP="001D4784">
      <w:pPr>
        <w:spacing w:after="0"/>
        <w:jc w:val="both"/>
        <w:rPr>
          <w:rFonts w:ascii="Verdana" w:hAnsi="Verdana"/>
          <w:i/>
        </w:rPr>
      </w:pPr>
      <w:r w:rsidRPr="001D4784">
        <w:rPr>
          <w:rFonts w:ascii="Verdana" w:hAnsi="Verdana"/>
        </w:rPr>
        <w:t xml:space="preserve">Ο Γιάννης Καντώρος, Διευθύνων Σύμβουλος του Ομίλου </w:t>
      </w:r>
      <w:r w:rsidRPr="001D4784">
        <w:rPr>
          <w:rFonts w:ascii="Verdana" w:hAnsi="Verdana"/>
          <w:lang w:val="en-US"/>
        </w:rPr>
        <w:t>Interamerican</w:t>
      </w:r>
      <w:r w:rsidRPr="001D4784">
        <w:rPr>
          <w:rFonts w:ascii="Verdana" w:hAnsi="Verdana"/>
        </w:rPr>
        <w:t xml:space="preserve"> παρουσίασε τα αποτελέσματα της εταιρίας για το 2021 σε εκδήλωση που πραγματοποιήθηκε στα Κεντρικά Γραφεία του Ομίλου, τα οποία έχουν πλήρως ανακαινισθεί και ευθυγραμμιστεί με το νέο σύγχρονο τρόπο εργασίας που έχει υιοθετηθεί. Ειδικότερα δήλωσε </w:t>
      </w:r>
      <w:r w:rsidRPr="001D4784">
        <w:rPr>
          <w:rFonts w:ascii="Verdana" w:hAnsi="Verdana"/>
          <w:i/>
        </w:rPr>
        <w:t xml:space="preserve">«Το 2021 ήταν, παρά τις προκλήσεις που αντιμετωπίσαμε, μια από τις καλύτερες χρονιές των τελευταίων ετών για την </w:t>
      </w:r>
      <w:r w:rsidRPr="001D4784">
        <w:rPr>
          <w:rFonts w:ascii="Verdana" w:hAnsi="Verdana"/>
          <w:i/>
          <w:lang w:val="en-US"/>
        </w:rPr>
        <w:t>Interamerican</w:t>
      </w:r>
      <w:r w:rsidRPr="001D4784">
        <w:rPr>
          <w:rFonts w:ascii="Verdana" w:hAnsi="Verdana"/>
          <w:i/>
        </w:rPr>
        <w:t xml:space="preserve"> σε κάθε επίπεδο. Νιώθω περήφανος όχι μόνο για τα εξαιρετικά αποτελέσματα αλλά και για τη νέα </w:t>
      </w:r>
      <w:r w:rsidRPr="001D4784">
        <w:rPr>
          <w:rFonts w:ascii="Verdana" w:hAnsi="Verdana"/>
          <w:i/>
          <w:lang w:val="en-US"/>
        </w:rPr>
        <w:t>Interamerican</w:t>
      </w:r>
      <w:r w:rsidRPr="001D4784">
        <w:rPr>
          <w:rFonts w:ascii="Verdana" w:hAnsi="Verdana"/>
          <w:i/>
        </w:rPr>
        <w:t xml:space="preserve"> που κτίζουμε, προσφέροντας αξία στους πελάτες μας, τους συνεργάτες μας, τους εργαζομένους μας και την κοινωνία. Το 2022 συνεχίζουμε με σημαντικές επενδύσεις, δίνοντας έμφαση στους τομείς της ψηφιοποίησης και ενίσχυσης των υποδομών μας, στη δημιουργία καινοτόμων λύσεων για τους πελάτες μας, καθώς και στη στρατηγική ένταξη της βιωσιμότητας σε κάθε τομέα της δραστηριότητάς μας».</w:t>
      </w:r>
    </w:p>
    <w:p w14:paraId="4C7CC74F" w14:textId="77777777" w:rsidR="001D4784" w:rsidRPr="001D4784" w:rsidRDefault="001D4784" w:rsidP="001D4784">
      <w:pPr>
        <w:spacing w:after="0"/>
        <w:jc w:val="both"/>
        <w:rPr>
          <w:rFonts w:ascii="Verdana" w:hAnsi="Verdana"/>
          <w:i/>
        </w:rPr>
      </w:pPr>
    </w:p>
    <w:p w14:paraId="6B77EF0C" w14:textId="005345DB" w:rsidR="003C1572" w:rsidRPr="00DD5D8B" w:rsidRDefault="00752010" w:rsidP="00752010">
      <w:pPr>
        <w:spacing w:after="0" w:line="240" w:lineRule="auto"/>
        <w:jc w:val="center"/>
        <w:rPr>
          <w:rFonts w:ascii="Verdana" w:hAnsi="Verdana" w:cs="Arial"/>
          <w:color w:val="000000" w:themeColor="text1"/>
        </w:rPr>
      </w:pPr>
      <w:r w:rsidRPr="00DD5D8B">
        <w:rPr>
          <w:rFonts w:ascii="Verdana" w:hAnsi="Verdana" w:cs="Arial"/>
          <w:color w:val="000000" w:themeColor="text1"/>
        </w:rPr>
        <w:t>*****</w:t>
      </w:r>
    </w:p>
    <w:p w14:paraId="793EC888" w14:textId="77777777" w:rsidR="00752010" w:rsidRPr="00DD5D8B" w:rsidRDefault="00752010" w:rsidP="00752010">
      <w:pPr>
        <w:spacing w:after="0" w:line="240" w:lineRule="auto"/>
        <w:jc w:val="both"/>
        <w:rPr>
          <w:rFonts w:ascii="Verdana" w:hAnsi="Verdana" w:cs="Arial"/>
          <w:bCs/>
          <w:color w:val="000000" w:themeColor="text1"/>
        </w:rPr>
      </w:pPr>
      <w:r w:rsidRPr="00DD5D8B">
        <w:rPr>
          <w:rFonts w:ascii="Verdana" w:hAnsi="Verdana" w:cs="Arial"/>
          <w:bCs/>
          <w:color w:val="000000" w:themeColor="text1"/>
        </w:rPr>
        <w:t xml:space="preserve">Γραφείο Τύπου </w:t>
      </w:r>
    </w:p>
    <w:p w14:paraId="78A0033D" w14:textId="5A2E8F85" w:rsidR="00752010" w:rsidRPr="00DD5D8B" w:rsidRDefault="00752010" w:rsidP="00752010">
      <w:pPr>
        <w:spacing w:after="0" w:line="240" w:lineRule="auto"/>
        <w:jc w:val="both"/>
        <w:rPr>
          <w:rFonts w:ascii="Verdana" w:hAnsi="Verdana" w:cs="Arial"/>
          <w:bCs/>
          <w:color w:val="000000" w:themeColor="text1"/>
        </w:rPr>
      </w:pPr>
      <w:r w:rsidRPr="00DD5D8B">
        <w:rPr>
          <w:rFonts w:ascii="Verdana" w:hAnsi="Verdana" w:cs="Arial"/>
          <w:bCs/>
          <w:color w:val="000000" w:themeColor="text1"/>
        </w:rPr>
        <w:t>Ομίλου I</w:t>
      </w:r>
      <w:proofErr w:type="spellStart"/>
      <w:r w:rsidR="00604000">
        <w:rPr>
          <w:rFonts w:ascii="Verdana" w:hAnsi="Verdana" w:cs="Arial"/>
          <w:bCs/>
          <w:color w:val="000000" w:themeColor="text1"/>
          <w:lang w:val="en-US"/>
        </w:rPr>
        <w:t>nteramerican</w:t>
      </w:r>
      <w:proofErr w:type="spellEnd"/>
      <w:r w:rsidRPr="00DD5D8B">
        <w:rPr>
          <w:rFonts w:ascii="Verdana" w:hAnsi="Verdana" w:cs="Arial"/>
          <w:bCs/>
          <w:color w:val="000000" w:themeColor="text1"/>
        </w:rPr>
        <w:tab/>
      </w:r>
    </w:p>
    <w:p w14:paraId="0D39B0C2" w14:textId="3502669D" w:rsidR="00752010" w:rsidRPr="00DD5D8B" w:rsidRDefault="003D6F85" w:rsidP="00752010">
      <w:pPr>
        <w:spacing w:after="0" w:line="240" w:lineRule="auto"/>
        <w:jc w:val="both"/>
        <w:rPr>
          <w:rFonts w:ascii="Verdana" w:hAnsi="Verdana" w:cs="Arial"/>
          <w:color w:val="000000" w:themeColor="text1"/>
        </w:rPr>
      </w:pPr>
      <w:r>
        <w:rPr>
          <w:rFonts w:ascii="Verdana" w:hAnsi="Verdana" w:cs="Arial"/>
          <w:bCs/>
          <w:color w:val="000000" w:themeColor="text1"/>
        </w:rPr>
        <w:t>Τηλ. 210 – 9461585</w:t>
      </w:r>
    </w:p>
    <w:sectPr w:rsidR="00752010" w:rsidRPr="00DD5D8B" w:rsidSect="003D6F85">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AB3C" w14:textId="77777777" w:rsidR="00EE79DC" w:rsidRDefault="00EE79DC" w:rsidP="00752010">
      <w:pPr>
        <w:spacing w:after="0" w:line="240" w:lineRule="auto"/>
      </w:pPr>
      <w:r>
        <w:separator/>
      </w:r>
    </w:p>
  </w:endnote>
  <w:endnote w:type="continuationSeparator" w:id="0">
    <w:p w14:paraId="3289B8EF" w14:textId="77777777" w:rsidR="00EE79DC" w:rsidRDefault="00EE79DC" w:rsidP="0075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8F25" w14:textId="77777777" w:rsidR="00EE79DC" w:rsidRDefault="00EE79DC" w:rsidP="00752010">
      <w:pPr>
        <w:spacing w:after="0" w:line="240" w:lineRule="auto"/>
      </w:pPr>
      <w:r>
        <w:separator/>
      </w:r>
    </w:p>
  </w:footnote>
  <w:footnote w:type="continuationSeparator" w:id="0">
    <w:p w14:paraId="66886E78" w14:textId="77777777" w:rsidR="00EE79DC" w:rsidRDefault="00EE79DC" w:rsidP="0075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5E9A" w14:textId="50CACBAF" w:rsidR="00752010" w:rsidRPr="006F1E89" w:rsidRDefault="007002D8" w:rsidP="00752010">
    <w:pPr>
      <w:pBdr>
        <w:top w:val="nil"/>
        <w:left w:val="nil"/>
        <w:bottom w:val="nil"/>
        <w:right w:val="nil"/>
        <w:between w:val="nil"/>
      </w:pBdr>
      <w:tabs>
        <w:tab w:val="center" w:pos="4153"/>
        <w:tab w:val="right" w:pos="8306"/>
      </w:tabs>
      <w:ind w:left="-142"/>
      <w:rPr>
        <w:color w:val="000000"/>
        <w:lang w:val="en-US"/>
      </w:rPr>
    </w:pPr>
    <w:r>
      <w:rPr>
        <w:noProof/>
        <w:lang w:eastAsia="el-GR"/>
      </w:rPr>
      <w:drawing>
        <wp:anchor distT="0" distB="0" distL="114300" distR="114300" simplePos="0" relativeHeight="251659264" behindDoc="0" locked="0" layoutInCell="1" allowOverlap="1" wp14:anchorId="6A608B13" wp14:editId="1B768E8F">
          <wp:simplePos x="0" y="0"/>
          <wp:positionH relativeFrom="column">
            <wp:posOffset>5417820</wp:posOffset>
          </wp:positionH>
          <wp:positionV relativeFrom="paragraph">
            <wp:posOffset>-281940</wp:posOffset>
          </wp:positionV>
          <wp:extent cx="548640" cy="818515"/>
          <wp:effectExtent l="0" t="0" r="3810" b="635"/>
          <wp:wrapNone/>
          <wp:docPr id="11" name="Shape 5"/>
          <wp:cNvGraphicFramePr/>
          <a:graphic xmlns:a="http://schemas.openxmlformats.org/drawingml/2006/main">
            <a:graphicData uri="http://schemas.openxmlformats.org/drawingml/2006/picture">
              <pic:pic xmlns:pic="http://schemas.openxmlformats.org/drawingml/2006/picture">
                <pic:nvPicPr>
                  <pic:cNvPr id="11" name="Shape 5"/>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548640" cy="818515"/>
                  </a:xfrm>
                  <a:prstGeom prst="rect">
                    <a:avLst/>
                  </a:prstGeom>
                  <a:noFill/>
                  <a:ln>
                    <a:noFill/>
                  </a:ln>
                </pic:spPr>
              </pic:pic>
            </a:graphicData>
          </a:graphic>
        </wp:anchor>
      </w:drawing>
    </w:r>
    <w:r w:rsidR="009E2C65">
      <w:rPr>
        <w:noProof/>
        <w:lang w:eastAsia="el-GR"/>
      </w:rPr>
      <w:drawing>
        <wp:anchor distT="0" distB="0" distL="114300" distR="114300" simplePos="0" relativeHeight="251658240" behindDoc="0" locked="0" layoutInCell="1" allowOverlap="1" wp14:anchorId="19AFECE2" wp14:editId="50052E6B">
          <wp:simplePos x="0" y="0"/>
          <wp:positionH relativeFrom="column">
            <wp:posOffset>4391025</wp:posOffset>
          </wp:positionH>
          <wp:positionV relativeFrom="paragraph">
            <wp:posOffset>-297180</wp:posOffset>
          </wp:positionV>
          <wp:extent cx="849630" cy="804545"/>
          <wp:effectExtent l="0" t="0" r="7620" b="0"/>
          <wp:wrapNone/>
          <wp:docPr id="10" name="Shape 4"/>
          <wp:cNvGraphicFramePr/>
          <a:graphic xmlns:a="http://schemas.openxmlformats.org/drawingml/2006/main">
            <a:graphicData uri="http://schemas.openxmlformats.org/drawingml/2006/picture">
              <pic:pic xmlns:pic="http://schemas.openxmlformats.org/drawingml/2006/picture">
                <pic:nvPicPr>
                  <pic:cNvPr id="10" name="Shape 4" descr="C:\Users\aravaniv\AppData\Local\Microsoft\Windows\Temporary Internet Files\Content.Word\Superbrands Greece Award Seal 2018-2019.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849630" cy="804545"/>
                  </a:xfrm>
                  <a:prstGeom prst="rect">
                    <a:avLst/>
                  </a:prstGeom>
                  <a:noFill/>
                  <a:ln>
                    <a:noFill/>
                  </a:ln>
                </pic:spPr>
              </pic:pic>
            </a:graphicData>
          </a:graphic>
        </wp:anchor>
      </w:drawing>
    </w:r>
    <w:r w:rsidR="009E2C65">
      <w:rPr>
        <w:noProof/>
        <w:lang w:eastAsia="el-GR"/>
      </w:rPr>
      <mc:AlternateContent>
        <mc:Choice Requires="wps">
          <w:drawing>
            <wp:anchor distT="0" distB="0" distL="114300" distR="114300" simplePos="0" relativeHeight="251657216" behindDoc="0" locked="0" layoutInCell="1" allowOverlap="1" wp14:anchorId="1E2CC831" wp14:editId="0EF4D796">
              <wp:simplePos x="0" y="0"/>
              <wp:positionH relativeFrom="column">
                <wp:posOffset>4391025</wp:posOffset>
              </wp:positionH>
              <wp:positionV relativeFrom="paragraph">
                <wp:posOffset>-297180</wp:posOffset>
              </wp:positionV>
              <wp:extent cx="1586230" cy="836292"/>
              <wp:effectExtent l="0" t="0" r="0" b="0"/>
              <wp:wrapNone/>
              <wp:docPr id="9" name="Rectangle 9"/>
              <wp:cNvGraphicFramePr/>
              <a:graphic xmlns:a="http://schemas.openxmlformats.org/drawingml/2006/main">
                <a:graphicData uri="http://schemas.microsoft.com/office/word/2010/wordprocessingShape">
                  <wps:wsp>
                    <wps:cNvSpPr/>
                    <wps:spPr>
                      <a:xfrm>
                        <a:off x="0" y="0"/>
                        <a:ext cx="1586230" cy="836292"/>
                      </a:xfrm>
                      <a:prstGeom prst="rect">
                        <a:avLst/>
                      </a:prstGeom>
                      <a:noFill/>
                      <a:ln>
                        <a:noFill/>
                      </a:ln>
                    </wps:spPr>
                    <wps:txbx>
                      <w:txbxContent>
                        <w:p w14:paraId="7953638B" w14:textId="77777777" w:rsidR="00752010" w:rsidRDefault="00752010" w:rsidP="00752010">
                          <w:pPr>
                            <w:textDirection w:val="btLr"/>
                          </w:pPr>
                        </w:p>
                      </w:txbxContent>
                    </wps:txbx>
                    <wps:bodyPr spcFirstLastPara="1" wrap="square" lIns="91425" tIns="91425" rIns="91425" bIns="91425" anchor="ctr" anchorCtr="0">
                      <a:noAutofit/>
                    </wps:bodyPr>
                  </wps:wsp>
                </a:graphicData>
              </a:graphic>
            </wp:anchor>
          </w:drawing>
        </mc:Choice>
        <mc:Fallback>
          <w:pict>
            <v:rect w14:anchorId="1E2CC831" id="Rectangle 9" o:spid="_x0000_s1026" style="position:absolute;left:0;text-align:left;margin-left:345.75pt;margin-top:-23.4pt;width:124.9pt;height:65.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" filled="f" stroked="f">
              <v:textbox inset="2.53958mm,2.53958mm,2.53958mm,2.53958mm">
                <w:txbxContent>
                  <w:p w14:paraId="7953638B" w14:textId="77777777" w:rsidR="00752010" w:rsidRDefault="00752010" w:rsidP="00752010">
                    <w:pPr>
                      <w:textDirection w:val="btLr"/>
                    </w:pPr>
                  </w:p>
                </w:txbxContent>
              </v:textbox>
            </v:rect>
          </w:pict>
        </mc:Fallback>
      </mc:AlternateContent>
    </w:r>
    <w:r w:rsidR="00752010">
      <w:rPr>
        <w:color w:val="000000"/>
        <w:lang w:val="en-US"/>
      </w:rPr>
      <w:t xml:space="preserve"> </w:t>
    </w:r>
    <w:r w:rsidR="00752010">
      <w:rPr>
        <w:noProof/>
        <w:color w:val="000000"/>
        <w:lang w:eastAsia="el-GR"/>
      </w:rPr>
      <w:drawing>
        <wp:inline distT="0" distB="0" distL="0" distR="0" wp14:anchorId="26F9A5D0" wp14:editId="525AF0A2">
          <wp:extent cx="1905000" cy="209550"/>
          <wp:effectExtent l="0" t="0" r="0" b="0"/>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905000" cy="209550"/>
                  </a:xfrm>
                  <a:prstGeom prst="rect">
                    <a:avLst/>
                  </a:prstGeom>
                  <a:ln/>
                </pic:spPr>
              </pic:pic>
            </a:graphicData>
          </a:graphic>
        </wp:inline>
      </w:drawing>
    </w:r>
  </w:p>
  <w:p w14:paraId="2106A335" w14:textId="77777777" w:rsidR="00752010" w:rsidRPr="00752010" w:rsidRDefault="00752010" w:rsidP="00752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00A"/>
    <w:multiLevelType w:val="hybridMultilevel"/>
    <w:tmpl w:val="E9842A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6CC6864"/>
    <w:multiLevelType w:val="multilevel"/>
    <w:tmpl w:val="1BA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D7EF8"/>
    <w:multiLevelType w:val="hybridMultilevel"/>
    <w:tmpl w:val="7AC2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497D6F"/>
    <w:multiLevelType w:val="hybridMultilevel"/>
    <w:tmpl w:val="A1A0F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C7"/>
    <w:rsid w:val="00040761"/>
    <w:rsid w:val="00052770"/>
    <w:rsid w:val="000653AF"/>
    <w:rsid w:val="00066C66"/>
    <w:rsid w:val="000724F4"/>
    <w:rsid w:val="00072500"/>
    <w:rsid w:val="000752E0"/>
    <w:rsid w:val="00095DE3"/>
    <w:rsid w:val="000A5570"/>
    <w:rsid w:val="000C1D45"/>
    <w:rsid w:val="000C28BB"/>
    <w:rsid w:val="000D307A"/>
    <w:rsid w:val="000E4746"/>
    <w:rsid w:val="000F0506"/>
    <w:rsid w:val="0010372C"/>
    <w:rsid w:val="0010545E"/>
    <w:rsid w:val="0012679C"/>
    <w:rsid w:val="00174D9E"/>
    <w:rsid w:val="00181432"/>
    <w:rsid w:val="001A1E8F"/>
    <w:rsid w:val="001A3D18"/>
    <w:rsid w:val="001C5D53"/>
    <w:rsid w:val="001D4784"/>
    <w:rsid w:val="001E0180"/>
    <w:rsid w:val="0021779C"/>
    <w:rsid w:val="00223550"/>
    <w:rsid w:val="00231708"/>
    <w:rsid w:val="002519B3"/>
    <w:rsid w:val="00271B44"/>
    <w:rsid w:val="002859F4"/>
    <w:rsid w:val="00293E2B"/>
    <w:rsid w:val="0029643F"/>
    <w:rsid w:val="00296DAA"/>
    <w:rsid w:val="002A05DE"/>
    <w:rsid w:val="002D60A2"/>
    <w:rsid w:val="00316C44"/>
    <w:rsid w:val="003617A6"/>
    <w:rsid w:val="00361A97"/>
    <w:rsid w:val="00367D71"/>
    <w:rsid w:val="00375C29"/>
    <w:rsid w:val="0038147A"/>
    <w:rsid w:val="003B02D5"/>
    <w:rsid w:val="003B186C"/>
    <w:rsid w:val="003C023E"/>
    <w:rsid w:val="003C1572"/>
    <w:rsid w:val="003D6F85"/>
    <w:rsid w:val="003E1D1C"/>
    <w:rsid w:val="004115F3"/>
    <w:rsid w:val="0041386F"/>
    <w:rsid w:val="004153CC"/>
    <w:rsid w:val="00430034"/>
    <w:rsid w:val="004465A4"/>
    <w:rsid w:val="004830D8"/>
    <w:rsid w:val="004853B7"/>
    <w:rsid w:val="004B2FC8"/>
    <w:rsid w:val="004B7275"/>
    <w:rsid w:val="004C7052"/>
    <w:rsid w:val="004C7500"/>
    <w:rsid w:val="00510F89"/>
    <w:rsid w:val="0052246F"/>
    <w:rsid w:val="00551B7F"/>
    <w:rsid w:val="00555880"/>
    <w:rsid w:val="0056767C"/>
    <w:rsid w:val="005A55D2"/>
    <w:rsid w:val="005A7824"/>
    <w:rsid w:val="005B13A9"/>
    <w:rsid w:val="005C6BF6"/>
    <w:rsid w:val="005E56B5"/>
    <w:rsid w:val="005F6081"/>
    <w:rsid w:val="00604000"/>
    <w:rsid w:val="00640305"/>
    <w:rsid w:val="00643D50"/>
    <w:rsid w:val="00651AF2"/>
    <w:rsid w:val="00657DF2"/>
    <w:rsid w:val="0067503F"/>
    <w:rsid w:val="00680B88"/>
    <w:rsid w:val="0068144D"/>
    <w:rsid w:val="00686A95"/>
    <w:rsid w:val="006A0661"/>
    <w:rsid w:val="006B7046"/>
    <w:rsid w:val="006C1F5E"/>
    <w:rsid w:val="006E7A47"/>
    <w:rsid w:val="006F3366"/>
    <w:rsid w:val="007002D8"/>
    <w:rsid w:val="00706C71"/>
    <w:rsid w:val="007258B1"/>
    <w:rsid w:val="00752010"/>
    <w:rsid w:val="007557F0"/>
    <w:rsid w:val="00764BE2"/>
    <w:rsid w:val="00785963"/>
    <w:rsid w:val="007911BA"/>
    <w:rsid w:val="00792B0B"/>
    <w:rsid w:val="007C3CD0"/>
    <w:rsid w:val="007C7C7C"/>
    <w:rsid w:val="007D6556"/>
    <w:rsid w:val="007E3B6A"/>
    <w:rsid w:val="00802CA4"/>
    <w:rsid w:val="00803AAB"/>
    <w:rsid w:val="00825C46"/>
    <w:rsid w:val="00826CC5"/>
    <w:rsid w:val="008357EF"/>
    <w:rsid w:val="00866B66"/>
    <w:rsid w:val="009A37A9"/>
    <w:rsid w:val="009B745B"/>
    <w:rsid w:val="009E2C65"/>
    <w:rsid w:val="009F1345"/>
    <w:rsid w:val="00A151BF"/>
    <w:rsid w:val="00A41D4E"/>
    <w:rsid w:val="00A45667"/>
    <w:rsid w:val="00A611C8"/>
    <w:rsid w:val="00A72B59"/>
    <w:rsid w:val="00AE4E71"/>
    <w:rsid w:val="00AF401A"/>
    <w:rsid w:val="00B008B0"/>
    <w:rsid w:val="00B04367"/>
    <w:rsid w:val="00B05F15"/>
    <w:rsid w:val="00B2044A"/>
    <w:rsid w:val="00B41C49"/>
    <w:rsid w:val="00B5292E"/>
    <w:rsid w:val="00B570C7"/>
    <w:rsid w:val="00BD0AB4"/>
    <w:rsid w:val="00BE68ED"/>
    <w:rsid w:val="00C417EE"/>
    <w:rsid w:val="00C532DC"/>
    <w:rsid w:val="00C66092"/>
    <w:rsid w:val="00CC36B2"/>
    <w:rsid w:val="00CE26DC"/>
    <w:rsid w:val="00CE5ECE"/>
    <w:rsid w:val="00D20F00"/>
    <w:rsid w:val="00D4278F"/>
    <w:rsid w:val="00D75F10"/>
    <w:rsid w:val="00D8750C"/>
    <w:rsid w:val="00D9632E"/>
    <w:rsid w:val="00DA7CE4"/>
    <w:rsid w:val="00DD5D8B"/>
    <w:rsid w:val="00DF2346"/>
    <w:rsid w:val="00DF2F88"/>
    <w:rsid w:val="00E04DFE"/>
    <w:rsid w:val="00E15CED"/>
    <w:rsid w:val="00E610DD"/>
    <w:rsid w:val="00E71214"/>
    <w:rsid w:val="00E82B1D"/>
    <w:rsid w:val="00E96137"/>
    <w:rsid w:val="00EB4F80"/>
    <w:rsid w:val="00EB633D"/>
    <w:rsid w:val="00EE6B8F"/>
    <w:rsid w:val="00EE79DC"/>
    <w:rsid w:val="00EF0B9E"/>
    <w:rsid w:val="00F1578C"/>
    <w:rsid w:val="00F456E5"/>
    <w:rsid w:val="00F6706E"/>
    <w:rsid w:val="00F75536"/>
    <w:rsid w:val="00F84063"/>
    <w:rsid w:val="00FA2317"/>
    <w:rsid w:val="00FE2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B71"/>
  <w15:chartTrackingRefBased/>
  <w15:docId w15:val="{25010D6B-244E-4DA2-B177-5BB1346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72"/>
    <w:rPr>
      <w:color w:val="0563C1" w:themeColor="hyperlink"/>
      <w:u w:val="single"/>
    </w:rPr>
  </w:style>
  <w:style w:type="character" w:styleId="FollowedHyperlink">
    <w:name w:val="FollowedHyperlink"/>
    <w:basedOn w:val="DefaultParagraphFont"/>
    <w:uiPriority w:val="99"/>
    <w:semiHidden/>
    <w:unhideWhenUsed/>
    <w:rsid w:val="006F3366"/>
    <w:rPr>
      <w:color w:val="954F72" w:themeColor="followedHyperlink"/>
      <w:u w:val="single"/>
    </w:rPr>
  </w:style>
  <w:style w:type="paragraph" w:styleId="Header">
    <w:name w:val="header"/>
    <w:basedOn w:val="Normal"/>
    <w:link w:val="HeaderChar"/>
    <w:uiPriority w:val="99"/>
    <w:unhideWhenUsed/>
    <w:rsid w:val="0075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10"/>
  </w:style>
  <w:style w:type="paragraph" w:styleId="Footer">
    <w:name w:val="footer"/>
    <w:basedOn w:val="Normal"/>
    <w:link w:val="FooterChar"/>
    <w:uiPriority w:val="99"/>
    <w:unhideWhenUsed/>
    <w:rsid w:val="0075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10"/>
  </w:style>
  <w:style w:type="paragraph" w:styleId="Revision">
    <w:name w:val="Revision"/>
    <w:hidden/>
    <w:uiPriority w:val="99"/>
    <w:semiHidden/>
    <w:rsid w:val="00CC36B2"/>
    <w:pPr>
      <w:spacing w:after="0" w:line="240" w:lineRule="auto"/>
    </w:pPr>
  </w:style>
  <w:style w:type="character" w:customStyle="1" w:styleId="break-words">
    <w:name w:val="break-words"/>
    <w:basedOn w:val="DefaultParagraphFont"/>
    <w:rsid w:val="00657DF2"/>
  </w:style>
  <w:style w:type="paragraph" w:styleId="BalloonText">
    <w:name w:val="Balloon Text"/>
    <w:basedOn w:val="Normal"/>
    <w:link w:val="BalloonTextChar"/>
    <w:uiPriority w:val="99"/>
    <w:semiHidden/>
    <w:unhideWhenUsed/>
    <w:rsid w:val="00B0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15"/>
    <w:rPr>
      <w:rFonts w:ascii="Segoe UI" w:hAnsi="Segoe UI" w:cs="Segoe UI"/>
      <w:sz w:val="18"/>
      <w:szCs w:val="18"/>
    </w:rPr>
  </w:style>
  <w:style w:type="paragraph" w:styleId="NormalWeb">
    <w:name w:val="Normal (Web)"/>
    <w:basedOn w:val="Normal"/>
    <w:uiPriority w:val="99"/>
    <w:semiHidden/>
    <w:unhideWhenUsed/>
    <w:rsid w:val="00E610DD"/>
    <w:pPr>
      <w:spacing w:before="100" w:beforeAutospacing="1" w:after="100" w:afterAutospacing="1" w:line="240" w:lineRule="auto"/>
    </w:pPr>
    <w:rPr>
      <w:rFonts w:ascii="Times New Roman" w:hAnsi="Times New Roman" w:cs="Times New Roman"/>
      <w:sz w:val="24"/>
      <w:szCs w:val="24"/>
      <w:lang w:eastAsia="el-GR"/>
    </w:rPr>
  </w:style>
  <w:style w:type="character" w:styleId="Strong">
    <w:name w:val="Strong"/>
    <w:basedOn w:val="DefaultParagraphFont"/>
    <w:uiPriority w:val="22"/>
    <w:qFormat/>
    <w:rsid w:val="00E610DD"/>
    <w:rPr>
      <w:b/>
      <w:bCs/>
    </w:rPr>
  </w:style>
  <w:style w:type="paragraph" w:styleId="ListParagraph">
    <w:name w:val="List Paragraph"/>
    <w:basedOn w:val="Normal"/>
    <w:uiPriority w:val="34"/>
    <w:qFormat/>
    <w:rsid w:val="002D60A2"/>
    <w:pPr>
      <w:spacing w:after="0" w:line="240" w:lineRule="auto"/>
      <w:ind w:left="720"/>
    </w:pPr>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007">
      <w:bodyDiv w:val="1"/>
      <w:marLeft w:val="0"/>
      <w:marRight w:val="0"/>
      <w:marTop w:val="0"/>
      <w:marBottom w:val="0"/>
      <w:divBdr>
        <w:top w:val="none" w:sz="0" w:space="0" w:color="auto"/>
        <w:left w:val="none" w:sz="0" w:space="0" w:color="auto"/>
        <w:bottom w:val="none" w:sz="0" w:space="0" w:color="auto"/>
        <w:right w:val="none" w:sz="0" w:space="0" w:color="auto"/>
      </w:divBdr>
    </w:div>
    <w:div w:id="28651248">
      <w:bodyDiv w:val="1"/>
      <w:marLeft w:val="0"/>
      <w:marRight w:val="0"/>
      <w:marTop w:val="0"/>
      <w:marBottom w:val="0"/>
      <w:divBdr>
        <w:top w:val="none" w:sz="0" w:space="0" w:color="auto"/>
        <w:left w:val="none" w:sz="0" w:space="0" w:color="auto"/>
        <w:bottom w:val="none" w:sz="0" w:space="0" w:color="auto"/>
        <w:right w:val="none" w:sz="0" w:space="0" w:color="auto"/>
      </w:divBdr>
    </w:div>
    <w:div w:id="495998380">
      <w:bodyDiv w:val="1"/>
      <w:marLeft w:val="0"/>
      <w:marRight w:val="0"/>
      <w:marTop w:val="0"/>
      <w:marBottom w:val="0"/>
      <w:divBdr>
        <w:top w:val="none" w:sz="0" w:space="0" w:color="auto"/>
        <w:left w:val="none" w:sz="0" w:space="0" w:color="auto"/>
        <w:bottom w:val="none" w:sz="0" w:space="0" w:color="auto"/>
        <w:right w:val="none" w:sz="0" w:space="0" w:color="auto"/>
      </w:divBdr>
    </w:div>
    <w:div w:id="635991703">
      <w:bodyDiv w:val="1"/>
      <w:marLeft w:val="0"/>
      <w:marRight w:val="0"/>
      <w:marTop w:val="0"/>
      <w:marBottom w:val="0"/>
      <w:divBdr>
        <w:top w:val="none" w:sz="0" w:space="0" w:color="auto"/>
        <w:left w:val="none" w:sz="0" w:space="0" w:color="auto"/>
        <w:bottom w:val="none" w:sz="0" w:space="0" w:color="auto"/>
        <w:right w:val="none" w:sz="0" w:space="0" w:color="auto"/>
      </w:divBdr>
    </w:div>
    <w:div w:id="790977372">
      <w:bodyDiv w:val="1"/>
      <w:marLeft w:val="0"/>
      <w:marRight w:val="0"/>
      <w:marTop w:val="0"/>
      <w:marBottom w:val="0"/>
      <w:divBdr>
        <w:top w:val="none" w:sz="0" w:space="0" w:color="auto"/>
        <w:left w:val="none" w:sz="0" w:space="0" w:color="auto"/>
        <w:bottom w:val="none" w:sz="0" w:space="0" w:color="auto"/>
        <w:right w:val="none" w:sz="0" w:space="0" w:color="auto"/>
      </w:divBdr>
    </w:div>
    <w:div w:id="1254239357">
      <w:bodyDiv w:val="1"/>
      <w:marLeft w:val="0"/>
      <w:marRight w:val="0"/>
      <w:marTop w:val="0"/>
      <w:marBottom w:val="0"/>
      <w:divBdr>
        <w:top w:val="none" w:sz="0" w:space="0" w:color="auto"/>
        <w:left w:val="none" w:sz="0" w:space="0" w:color="auto"/>
        <w:bottom w:val="none" w:sz="0" w:space="0" w:color="auto"/>
        <w:right w:val="none" w:sz="0" w:space="0" w:color="auto"/>
      </w:divBdr>
    </w:div>
    <w:div w:id="1537616878">
      <w:bodyDiv w:val="1"/>
      <w:marLeft w:val="0"/>
      <w:marRight w:val="0"/>
      <w:marTop w:val="0"/>
      <w:marBottom w:val="0"/>
      <w:divBdr>
        <w:top w:val="none" w:sz="0" w:space="0" w:color="auto"/>
        <w:left w:val="none" w:sz="0" w:space="0" w:color="auto"/>
        <w:bottom w:val="none" w:sz="0" w:space="0" w:color="auto"/>
        <w:right w:val="none" w:sz="0" w:space="0" w:color="auto"/>
      </w:divBdr>
    </w:div>
    <w:div w:id="16914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4705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ΜΑΡΟΥΔΗ ΜΑΡΙΑ</dc:creator>
  <cp:keywords/>
  <dc:description/>
  <cp:lastModifiedBy>Ioanna  Chatzimanolaki</cp:lastModifiedBy>
  <cp:revision>2</cp:revision>
  <dcterms:created xsi:type="dcterms:W3CDTF">2022-04-12T07:42:00Z</dcterms:created>
  <dcterms:modified xsi:type="dcterms:W3CDTF">2022-04-12T07:42:00Z</dcterms:modified>
</cp:coreProperties>
</file>